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0" w:name="_Hlk16003051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便携式全自动紫外分光测油仪</w:t>
      </w:r>
      <w:bookmarkEnd w:id="0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采购需求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一、技术要求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设备用途：测定原理参照</w:t>
      </w:r>
      <w:r>
        <w:rPr>
          <w:rFonts w:ascii="仿宋_GB2312" w:hAnsi="仿宋_GB2312" w:eastAsia="仿宋_GB2312" w:cs="仿宋_GB2312"/>
          <w:sz w:val="28"/>
          <w:szCs w:val="28"/>
        </w:rPr>
        <w:t xml:space="preserve">HJ970-2018 水质 石油类测定 </w:t>
      </w:r>
      <w:r>
        <w:rPr>
          <w:rFonts w:hint="eastAsia" w:ascii="仿宋_GB2312" w:hAnsi="仿宋_GB2312" w:eastAsia="仿宋_GB2312" w:cs="仿宋_GB2312"/>
          <w:sz w:val="28"/>
          <w:szCs w:val="28"/>
        </w:rPr>
        <w:t>紫外</w:t>
      </w:r>
      <w:r>
        <w:rPr>
          <w:rFonts w:ascii="仿宋_GB2312" w:hAnsi="仿宋_GB2312" w:eastAsia="仿宋_GB2312" w:cs="仿宋_GB2312"/>
          <w:sz w:val="28"/>
          <w:szCs w:val="28"/>
        </w:rPr>
        <w:t>分光光度法</w:t>
      </w:r>
      <w:r>
        <w:rPr>
          <w:rFonts w:hint="eastAsia" w:ascii="仿宋_GB2312" w:hAnsi="仿宋_GB2312" w:eastAsia="仿宋_GB2312" w:cs="仿宋_GB2312"/>
          <w:sz w:val="28"/>
          <w:szCs w:val="28"/>
        </w:rPr>
        <w:t>，用于突发环境污染事件中地表水、地下水中石油类的应急监测；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1、性能要求：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</w:t>
      </w:r>
      <w:r>
        <w:rPr>
          <w:rFonts w:hint="eastAsia" w:ascii="仿宋_GB2312" w:hAnsi="仿宋_GB2312" w:eastAsia="仿宋_GB2312" w:cs="仿宋_GB2312"/>
          <w:sz w:val="28"/>
          <w:szCs w:val="28"/>
        </w:rPr>
        <w:t>、★设备须一体化设计（采样瓶、试剂瓶、废液瓶、萃取装置和分析装置均集成在一个仪器箱内），可保障仪器和光学系统的稳定性；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.2</w:t>
      </w:r>
      <w:r>
        <w:rPr>
          <w:rFonts w:hint="eastAsia" w:ascii="仿宋_GB2312" w:hAnsi="仿宋_GB2312" w:eastAsia="仿宋_GB2312" w:cs="仿宋_GB2312"/>
          <w:sz w:val="28"/>
          <w:szCs w:val="28"/>
        </w:rPr>
        <w:t>、★设备应具有抗振性能，可在监测车行驶状态下工作（需提供箱体</w:t>
      </w:r>
      <w:r>
        <w:rPr>
          <w:rFonts w:ascii="仿宋_GB2312" w:hAnsi="仿宋_GB2312" w:eastAsia="仿宋_GB2312" w:cs="仿宋_GB2312"/>
          <w:sz w:val="28"/>
          <w:szCs w:val="28"/>
        </w:rPr>
        <w:t>第三方可溯源抗振等级检测报告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</w:t>
      </w:r>
      <w:r>
        <w:rPr>
          <w:rFonts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.3</w:t>
      </w:r>
      <w:r>
        <w:rPr>
          <w:rFonts w:hint="eastAsia" w:ascii="仿宋_GB2312" w:hAnsi="仿宋_GB2312" w:eastAsia="仿宋_GB2312" w:cs="仿宋_GB2312"/>
          <w:sz w:val="28"/>
          <w:szCs w:val="28"/>
        </w:rPr>
        <w:t>、★设备应具有不低于I</w:t>
      </w:r>
      <w:r>
        <w:rPr>
          <w:rFonts w:ascii="仿宋_GB2312" w:hAnsi="仿宋_GB2312" w:eastAsia="仿宋_GB2312" w:cs="仿宋_GB2312"/>
          <w:sz w:val="28"/>
          <w:szCs w:val="28"/>
        </w:rPr>
        <w:t>P67</w:t>
      </w:r>
      <w:r>
        <w:rPr>
          <w:rFonts w:hint="eastAsia" w:ascii="仿宋_GB2312" w:hAnsi="仿宋_GB2312" w:eastAsia="仿宋_GB2312" w:cs="仿宋_GB2312"/>
          <w:sz w:val="28"/>
          <w:szCs w:val="28"/>
        </w:rPr>
        <w:t>的防水性能，外箱一体式注塑成型无缝隙及开口（需提供箱体高低温、跌落、盐雾、浸泡等合格第三方可溯源检测报告复印件）；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.4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、设备一键式全自动操作，应具有样品体积自动测量、加试剂、萃取、分离、转移、测量全部自动完成功能；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.5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、设备不得采用液面接触方式</w:t>
      </w:r>
      <w:r>
        <w:rPr>
          <w:rFonts w:ascii="仿宋_GB2312" w:hAnsi="仿宋_GB2312" w:eastAsia="仿宋_GB2312" w:cs="仿宋_GB2312"/>
          <w:sz w:val="28"/>
          <w:szCs w:val="28"/>
        </w:rPr>
        <w:t>测量</w:t>
      </w:r>
      <w:r>
        <w:rPr>
          <w:rFonts w:hint="eastAsia" w:ascii="仿宋_GB2312" w:hAnsi="仿宋_GB2312" w:eastAsia="仿宋_GB2312" w:cs="仿宋_GB2312"/>
          <w:sz w:val="28"/>
          <w:szCs w:val="28"/>
        </w:rPr>
        <w:t>水样体积，避免样品之间交叉污染（需提供水样体积探测器实物照片证明）；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.6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、设备应具备自动清洗功能，样品分析结束后自动清洗全流程管路，防止不同样浓度样品之间的干扰；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.7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、设备应配备有不少于</w:t>
      </w:r>
      <w:r>
        <w:rPr>
          <w:rFonts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根硅酸镁柱，检测到当前使用的硅酸镁吸附柱剩余吸附量不足时，仪器自动切换至备用硅酸镁吸附柱</w:t>
      </w:r>
      <w:r>
        <w:rPr>
          <w:rFonts w:ascii="仿宋_GB2312" w:hAnsi="仿宋_GB2312" w:eastAsia="仿宋_GB2312" w:cs="仿宋_GB2312"/>
          <w:sz w:val="28"/>
          <w:szCs w:val="28"/>
        </w:rPr>
        <w:t>（提供</w:t>
      </w:r>
      <w:r>
        <w:rPr>
          <w:rFonts w:hint="eastAsia" w:ascii="仿宋_GB2312" w:hAnsi="仿宋_GB2312" w:eastAsia="仿宋_GB2312" w:cs="仿宋_GB2312"/>
          <w:sz w:val="28"/>
          <w:szCs w:val="28"/>
        </w:rPr>
        <w:t>硅酸镁吸附柱</w:t>
      </w:r>
      <w:r>
        <w:rPr>
          <w:rFonts w:ascii="仿宋_GB2312" w:hAnsi="仿宋_GB2312" w:eastAsia="仿宋_GB2312" w:cs="仿宋_GB2312"/>
          <w:sz w:val="28"/>
          <w:szCs w:val="28"/>
        </w:rPr>
        <w:t>实物安装照片</w:t>
      </w:r>
      <w:r>
        <w:rPr>
          <w:rFonts w:hint="eastAsia" w:ascii="仿宋_GB2312" w:hAnsi="仿宋_GB2312" w:eastAsia="仿宋_GB2312" w:cs="仿宋_GB2312"/>
          <w:sz w:val="28"/>
          <w:szCs w:val="28"/>
        </w:rPr>
        <w:t>证明</w:t>
      </w:r>
      <w:r>
        <w:rPr>
          <w:rFonts w:ascii="仿宋_GB2312" w:hAnsi="仿宋_GB2312" w:eastAsia="仿宋_GB2312" w:cs="仿宋_GB2312"/>
          <w:sz w:val="28"/>
          <w:szCs w:val="28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.8</w:t>
      </w:r>
      <w:r>
        <w:rPr>
          <w:rFonts w:hint="eastAsia" w:ascii="仿宋_GB2312" w:hAnsi="仿宋_GB2312" w:eastAsia="仿宋_GB2312" w:cs="仿宋_GB2312"/>
          <w:sz w:val="28"/>
          <w:szCs w:val="28"/>
        </w:rPr>
        <w:t>、★设备应具备废液自动分离功能，废正己烷试剂和废水样分别自动进入不同废液瓶，两者完全分离（提供废试剂管和废水管位置实物安装照片证明）；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.9</w:t>
      </w:r>
      <w:r>
        <w:rPr>
          <w:rFonts w:hint="eastAsia" w:ascii="仿宋_GB2312" w:hAnsi="仿宋_GB2312" w:eastAsia="仿宋_GB2312" w:cs="仿宋_GB2312"/>
          <w:sz w:val="28"/>
          <w:szCs w:val="28"/>
        </w:rPr>
        <w:t>、仪器自带有破乳功能，可自动处理乳化水样；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.10</w:t>
      </w:r>
      <w:r>
        <w:rPr>
          <w:rFonts w:hint="eastAsia" w:ascii="仿宋_GB2312" w:hAnsi="仿宋_GB2312" w:eastAsia="仿宋_GB2312" w:cs="仿宋_GB2312"/>
          <w:sz w:val="28"/>
          <w:szCs w:val="28"/>
        </w:rPr>
        <w:t>、可对仪器进行远程测量、监控、调取数据等操作；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.11</w:t>
      </w:r>
      <w:r>
        <w:rPr>
          <w:rFonts w:hint="eastAsia" w:ascii="仿宋_GB2312" w:hAnsi="仿宋_GB2312" w:eastAsia="仿宋_GB2312" w:cs="仿宋_GB2312"/>
          <w:sz w:val="28"/>
          <w:szCs w:val="28"/>
        </w:rPr>
        <w:t>、★设备应配置有不小于1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英寸触摸屏的手操器，手操器与仪器无需通过线缆连接，避免线缆影响实验操作；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.12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、设备须内置有锂电池，并具有交直流两用功能，可野外应急监测连续长时间使用；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.13</w:t>
      </w:r>
      <w:r>
        <w:rPr>
          <w:rFonts w:hint="eastAsia" w:ascii="仿宋_GB2312" w:hAnsi="仿宋_GB2312" w:eastAsia="仿宋_GB2312" w:cs="仿宋_GB2312"/>
          <w:sz w:val="28"/>
          <w:szCs w:val="28"/>
        </w:rPr>
        <w:t>、可使用市售常见棕色广口玻璃瓶，使用同一样品瓶完成采样、样品体积测量及样品萃取，无需使用其他装置；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.14</w:t>
      </w:r>
      <w:r>
        <w:rPr>
          <w:rFonts w:hint="eastAsia" w:ascii="仿宋_GB2312" w:hAnsi="仿宋_GB2312" w:eastAsia="仿宋_GB2312" w:cs="仿宋_GB2312"/>
          <w:sz w:val="28"/>
          <w:szCs w:val="28"/>
        </w:rPr>
        <w:t>、设备可根据需要后期升级北斗定位系统；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.15</w:t>
      </w:r>
      <w:r>
        <w:rPr>
          <w:rFonts w:hint="eastAsia" w:ascii="仿宋_GB2312" w:hAnsi="仿宋_GB2312" w:eastAsia="仿宋_GB2312" w:cs="仿宋_GB2312"/>
          <w:sz w:val="28"/>
          <w:szCs w:val="28"/>
        </w:rPr>
        <w:t>、分析软件具备自动分析、计算功能，可手动操作各测试步骤；单次可设置多个样品的类型、名称、样品体积、添加试剂体积、测量次数等信息，开始运行后按照设定顺序逐个进行测量；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1.16、标准曲线：制作标准曲线时只需要放入曲线最高点浓度的标准溶液，仪器自动配置其他浓度标准溶液，测量完成后软件自动完成曲线拟合，并显示线性公式及相关系数（提供仪器标准曲线制作界面、曲线线性公式及相关系数显示界面照片证明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1.17、★内置多通阀应保证可长期连续使用（提供原厂盖章的多通阀不少于</w:t>
      </w:r>
      <w:r>
        <w:rPr>
          <w:rFonts w:ascii="仿宋_GB2312" w:hAnsi="仿宋_GB2312" w:eastAsia="仿宋_GB2312" w:cs="仿宋_GB2312"/>
          <w:sz w:val="28"/>
          <w:szCs w:val="28"/>
        </w:rPr>
        <w:t>1000万次切换寿命证明报告</w:t>
      </w:r>
      <w:r>
        <w:rPr>
          <w:rFonts w:hint="eastAsia" w:ascii="仿宋_GB2312" w:hAnsi="仿宋_GB2312" w:eastAsia="仿宋_GB2312" w:cs="仿宋_GB2312"/>
          <w:sz w:val="28"/>
          <w:szCs w:val="28"/>
        </w:rPr>
        <w:t>复印件</w:t>
      </w:r>
      <w:r>
        <w:rPr>
          <w:rFonts w:ascii="仿宋_GB2312" w:hAnsi="仿宋_GB2312" w:eastAsia="仿宋_GB2312" w:cs="仿宋_GB2312"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1.18、可现场打印监测数据，支持</w:t>
      </w:r>
      <w:r>
        <w:rPr>
          <w:rFonts w:ascii="仿宋_GB2312" w:hAnsi="仿宋_GB2312" w:eastAsia="仿宋_GB2312" w:cs="仿宋_GB2312"/>
          <w:sz w:val="28"/>
          <w:szCs w:val="28"/>
        </w:rPr>
        <w:t>U盘导出</w:t>
      </w:r>
      <w:r>
        <w:rPr>
          <w:rFonts w:hint="eastAsia" w:ascii="仿宋_GB2312" w:hAnsi="仿宋_GB2312" w:eastAsia="仿宋_GB2312" w:cs="仿宋_GB2312"/>
          <w:sz w:val="28"/>
          <w:szCs w:val="28"/>
        </w:rPr>
        <w:t>数据</w:t>
      </w:r>
      <w:r>
        <w:rPr>
          <w:rFonts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分析数据</w:t>
      </w:r>
      <w:r>
        <w:rPr>
          <w:rFonts w:ascii="仿宋_GB2312" w:hAnsi="仿宋_GB2312" w:eastAsia="仿宋_GB2312" w:cs="仿宋_GB2312"/>
          <w:sz w:val="28"/>
          <w:szCs w:val="28"/>
        </w:rPr>
        <w:t>为不可修改格式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1.19、设备应具备数据传输功能，须配置数据上传接口，可将数据传输至应急监测指挥调度系统；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vertAlign w:val="baseline"/>
          <w:lang w:val="en-US" w:eastAsia="zh-CN"/>
        </w:rPr>
      </w:pPr>
      <w:bookmarkStart w:id="1" w:name="_Toc68167951"/>
      <w:bookmarkStart w:id="2" w:name="_Toc352770202"/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1.20、</w:t>
      </w: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仪器配置</w:t>
      </w:r>
    </w:p>
    <w:tbl>
      <w:tblPr>
        <w:tblStyle w:val="6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3"/>
        <w:gridCol w:w="2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便携式全自动紫外分光测油仪主机（内置锂电池、手持式操作单元、分析单元、萃取单元）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  <w:lang w:val="en-US" w:eastAsia="zh-CN"/>
              </w:rPr>
              <w:t>1套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样品瓶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硅酸镁柱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2根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比色皿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废液瓶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质控样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标样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634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调试工具</w:t>
            </w:r>
          </w:p>
        </w:tc>
        <w:tc>
          <w:tcPr>
            <w:tcW w:w="21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t>1套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黑体" w:hAnsi="黑体" w:eastAsia="黑体" w:cs="仿宋_GB2312"/>
          <w:sz w:val="28"/>
          <w:szCs w:val="28"/>
        </w:rPr>
      </w:pPr>
      <w:r>
        <w:rPr>
          <w:rFonts w:hint="eastAsia" w:ascii="黑体" w:hAnsi="黑体" w:eastAsia="黑体" w:cs="仿宋_GB2312"/>
          <w:sz w:val="28"/>
          <w:szCs w:val="28"/>
        </w:rPr>
        <w:t>二、主要技术指标</w:t>
      </w:r>
      <w:bookmarkEnd w:id="1"/>
      <w:bookmarkEnd w:id="2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</w:t>
      </w:r>
      <w:r>
        <w:rPr>
          <w:rFonts w:hint="eastAsia" w:ascii="仿宋_GB2312" w:hAnsi="仿宋_GB2312" w:eastAsia="仿宋_GB2312" w:cs="仿宋_GB2312"/>
          <w:sz w:val="28"/>
          <w:szCs w:val="28"/>
        </w:rPr>
        <w:t>、萃取试剂：正己烷；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.2</w:t>
      </w:r>
      <w:r>
        <w:rPr>
          <w:rFonts w:hint="eastAsia" w:ascii="仿宋_GB2312" w:hAnsi="仿宋_GB2312" w:eastAsia="仿宋_GB2312" w:cs="仿宋_GB2312"/>
          <w:sz w:val="28"/>
          <w:szCs w:val="28"/>
        </w:rPr>
        <w:t>、校正方法：标准曲线；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.3</w:t>
      </w:r>
      <w:r>
        <w:rPr>
          <w:rFonts w:hint="eastAsia" w:ascii="仿宋_GB2312" w:hAnsi="仿宋_GB2312" w:eastAsia="仿宋_GB2312" w:cs="仿宋_GB2312"/>
          <w:sz w:val="28"/>
          <w:szCs w:val="28"/>
        </w:rPr>
        <w:t>、测试波长：</w:t>
      </w:r>
      <w:r>
        <w:rPr>
          <w:rFonts w:ascii="仿宋_GB2312" w:hAnsi="仿宋_GB2312" w:eastAsia="仿宋_GB2312" w:cs="仿宋_GB2312"/>
          <w:sz w:val="28"/>
          <w:szCs w:val="28"/>
        </w:rPr>
        <w:t>225nm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.4</w:t>
      </w:r>
      <w:r>
        <w:rPr>
          <w:rFonts w:hint="eastAsia" w:ascii="仿宋_GB2312" w:hAnsi="仿宋_GB2312" w:eastAsia="仿宋_GB2312" w:cs="仿宋_GB2312"/>
          <w:sz w:val="28"/>
          <w:szCs w:val="28"/>
        </w:rPr>
        <w:t>、测量范围：0-</w:t>
      </w:r>
      <w:r>
        <w:rPr>
          <w:rFonts w:ascii="仿宋_GB2312" w:hAnsi="仿宋_GB2312" w:eastAsia="仿宋_GB2312" w:cs="仿宋_GB2312"/>
          <w:sz w:val="28"/>
          <w:szCs w:val="28"/>
        </w:rPr>
        <w:t>6</w:t>
      </w:r>
      <w:r>
        <w:rPr>
          <w:rFonts w:hint="eastAsia" w:ascii="仿宋_GB2312" w:hAnsi="仿宋_GB2312" w:eastAsia="仿宋_GB2312" w:cs="仿宋_GB2312"/>
          <w:sz w:val="28"/>
          <w:szCs w:val="28"/>
        </w:rPr>
        <w:t>0mg/L（超量程可自动稀释）；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.5</w:t>
      </w:r>
      <w:r>
        <w:rPr>
          <w:rFonts w:hint="eastAsia" w:ascii="仿宋_GB2312" w:hAnsi="仿宋_GB2312" w:eastAsia="仿宋_GB2312" w:cs="仿宋_GB2312"/>
          <w:sz w:val="28"/>
          <w:szCs w:val="28"/>
        </w:rPr>
        <w:t>、分 辨 率：0.0</w:t>
      </w:r>
      <w:r>
        <w:rPr>
          <w:rFonts w:ascii="仿宋_GB2312" w:hAnsi="仿宋_GB2312" w:eastAsia="仿宋_GB2312" w:cs="仿宋_GB2312"/>
          <w:sz w:val="28"/>
          <w:szCs w:val="28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1mg/L；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.6</w:t>
      </w:r>
      <w:r>
        <w:rPr>
          <w:rFonts w:hint="eastAsia" w:ascii="仿宋_GB2312" w:hAnsi="仿宋_GB2312" w:eastAsia="仿宋_GB2312" w:cs="仿宋_GB2312"/>
          <w:sz w:val="28"/>
          <w:szCs w:val="28"/>
        </w:rPr>
        <w:t>、检 出 限：0.01mg/L；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.7</w:t>
      </w:r>
      <w:r>
        <w:rPr>
          <w:rFonts w:hint="eastAsia" w:ascii="仿宋_GB2312" w:hAnsi="仿宋_GB2312" w:eastAsia="仿宋_GB2312" w:cs="仿宋_GB2312"/>
          <w:sz w:val="28"/>
          <w:szCs w:val="28"/>
        </w:rPr>
        <w:t>、重 现 性：RSD＜2%；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.8</w:t>
      </w:r>
      <w:r>
        <w:rPr>
          <w:rFonts w:hint="eastAsia" w:ascii="仿宋_GB2312" w:hAnsi="仿宋_GB2312" w:eastAsia="仿宋_GB2312" w:cs="仿宋_GB2312"/>
          <w:sz w:val="28"/>
          <w:szCs w:val="28"/>
        </w:rPr>
        <w:t>、准 确 度：＜±2%；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.9</w:t>
      </w:r>
      <w:r>
        <w:rPr>
          <w:rFonts w:hint="eastAsia" w:ascii="仿宋_GB2312" w:hAnsi="仿宋_GB2312" w:eastAsia="仿宋_GB2312" w:cs="仿宋_GB2312"/>
          <w:sz w:val="28"/>
          <w:szCs w:val="28"/>
        </w:rPr>
        <w:t>、线性系数：≥0.9999；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1.10、完成一条标准曲线时间：＜</w:t>
      </w:r>
      <w:r>
        <w:rPr>
          <w:rFonts w:ascii="仿宋_GB2312" w:hAnsi="仿宋_GB2312" w:eastAsia="仿宋_GB2312" w:cs="仿宋_GB2312"/>
          <w:sz w:val="28"/>
          <w:szCs w:val="28"/>
        </w:rPr>
        <w:t>12分钟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1.11、水样体积：10-500毫升；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</w:t>
      </w:r>
      <w:r>
        <w:rPr>
          <w:rFonts w:hint="eastAsia" w:ascii="仿宋_GB2312" w:hAnsi="仿宋_GB2312" w:eastAsia="仿宋_GB2312" w:cs="仿宋_GB2312"/>
          <w:sz w:val="28"/>
          <w:szCs w:val="28"/>
        </w:rPr>
        <w:t>2、测试时间：≤</w:t>
      </w:r>
      <w:r>
        <w:rPr>
          <w:rFonts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分钟/样品；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</w:t>
      </w:r>
      <w:r>
        <w:rPr>
          <w:rFonts w:hint="eastAsia" w:ascii="仿宋_GB2312" w:hAnsi="仿宋_GB2312" w:eastAsia="仿宋_GB2312" w:cs="仿宋_GB2312"/>
          <w:sz w:val="28"/>
          <w:szCs w:val="28"/>
        </w:rPr>
        <w:t>3、★</w:t>
      </w:r>
      <w:r>
        <w:rPr>
          <w:rFonts w:ascii="仿宋_GB2312" w:hAnsi="仿宋_GB2312" w:eastAsia="仿宋_GB2312" w:cs="仿宋_GB2312"/>
          <w:sz w:val="28"/>
          <w:szCs w:val="28"/>
        </w:rPr>
        <w:t>整体重量（含</w:t>
      </w:r>
      <w:r>
        <w:rPr>
          <w:rFonts w:hint="eastAsia" w:ascii="仿宋_GB2312" w:hAnsi="仿宋_GB2312" w:eastAsia="仿宋_GB2312" w:cs="仿宋_GB2312"/>
          <w:sz w:val="28"/>
          <w:szCs w:val="28"/>
        </w:rPr>
        <w:t>锂</w:t>
      </w:r>
      <w:r>
        <w:rPr>
          <w:rFonts w:ascii="仿宋_GB2312" w:hAnsi="仿宋_GB2312" w:eastAsia="仿宋_GB2312" w:cs="仿宋_GB2312"/>
          <w:sz w:val="28"/>
          <w:szCs w:val="28"/>
        </w:rPr>
        <w:t>电池、手持式操作单元、分析单元和萃取单元等所有部件）≤15kg</w:t>
      </w:r>
      <w:r>
        <w:rPr>
          <w:rFonts w:hint="eastAsia" w:ascii="仿宋_GB2312" w:hAnsi="仿宋_GB2312" w:eastAsia="仿宋_GB2312" w:cs="仿宋_GB2312"/>
          <w:sz w:val="28"/>
          <w:szCs w:val="28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</w:t>
      </w:r>
      <w:r>
        <w:rPr>
          <w:rFonts w:ascii="仿宋_GB2312" w:hAnsi="仿宋_GB2312" w:eastAsia="仿宋_GB2312" w:cs="仿宋_GB2312"/>
          <w:sz w:val="28"/>
          <w:szCs w:val="28"/>
        </w:rPr>
        <w:t>.1</w:t>
      </w:r>
      <w:r>
        <w:rPr>
          <w:rFonts w:hint="eastAsia" w:ascii="仿宋_GB2312" w:hAnsi="仿宋_GB2312" w:eastAsia="仿宋_GB2312" w:cs="仿宋_GB2312"/>
          <w:sz w:val="28"/>
          <w:szCs w:val="28"/>
        </w:rPr>
        <w:t>4、锂电池可连续工作时长：≥2小时；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1.15、设备箱体防护等级：≥IP67；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</w:rPr>
        <w:t>交货期限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highlight w:val="none"/>
          <w:lang w:eastAsia="zh-CN"/>
        </w:rPr>
        <w:t>及付款方式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合同签订后60天内到货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</w:rPr>
        <w:t>考核及支付方式：检定验收通过后一次性付款</w:t>
      </w:r>
    </w:p>
    <w:p>
      <w:pPr>
        <w:spacing w:line="480" w:lineRule="exact"/>
        <w:ind w:firstLine="560" w:firstLineChars="200"/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、技术服务要求：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highlight w:val="none"/>
          <w:lang w:val="en-US" w:eastAsia="zh-CN" w:bidi="ar-SA"/>
        </w:rPr>
        <w:t>1、安装验收：供方严格按照招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标文件要求提供运输、设备安装、调试、验收，直至移交给用户使用的工作和相关服务。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2、质保期：供方提供一年的免费质保期。质量保证期由最终验收合格之日起计算。</w:t>
      </w:r>
    </w:p>
    <w:p>
      <w:pPr>
        <w:spacing w:line="480" w:lineRule="exact"/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3、培训：供方提供在用户单位现场进行操作培训的服务。内容包括，仪器的基本原理、操作和日常维护课程，安装现场对使用人员2人以上进行培训直至掌握为止。</w:t>
      </w:r>
    </w:p>
    <w:p>
      <w:pPr>
        <w:spacing w:line="480" w:lineRule="exact"/>
        <w:ind w:firstLine="56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4、技术服务：在产品质保期内，由于仪器设备自身质量问题或遇非人为因素（自然灾害等不可抗力因素除外）造成仪器不能正常工作（因用户使用不当造成的故障除外），供应商在收到用户通知后，24小时内响应，72小时内提出解决方案，进行免费维修或免费更换零配件。若因出现质量问题无法维修，则提供免费备件更换。</w:t>
      </w:r>
    </w:p>
    <w:p>
      <w:pPr>
        <w:spacing w:line="480" w:lineRule="exact"/>
        <w:ind w:firstLine="560"/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t>带“★”号条款为重要条款，报价方需作出实质性响应，对任意一项未作出实质性响应，其报价将被做无效处理。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28"/>
          <w:szCs w:val="28"/>
          <w:lang w:val="en-US" w:eastAsia="zh-CN" w:bidi="ar-SA"/>
        </w:rPr>
        <w:br w:type="page"/>
      </w:r>
    </w:p>
    <w:p>
      <w:pPr>
        <w:widowControl/>
        <w:spacing w:line="360" w:lineRule="auto"/>
        <w:jc w:val="center"/>
        <w:rPr>
          <w:rFonts w:hAnsi="宋体"/>
          <w:b/>
          <w:szCs w:val="21"/>
        </w:rPr>
      </w:pPr>
      <w:r>
        <w:rPr>
          <w:rFonts w:hint="eastAsia" w:hAnsi="宋体"/>
          <w:b/>
          <w:szCs w:val="21"/>
        </w:rPr>
        <w:t>评分细则（100分）</w:t>
      </w:r>
    </w:p>
    <w:tbl>
      <w:tblPr>
        <w:tblStyle w:val="5"/>
        <w:tblW w:w="88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108" w:type="dxa"/>
          <w:bottom w:w="28" w:type="dxa"/>
          <w:right w:w="108" w:type="dxa"/>
        </w:tblCellMar>
      </w:tblPr>
      <w:tblGrid>
        <w:gridCol w:w="827"/>
        <w:gridCol w:w="1160"/>
        <w:gridCol w:w="5977"/>
        <w:gridCol w:w="9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序号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评审内容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主要评估内容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报价得分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eastAsia="等线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报价得分＝价格分值×（基准价/最后报价）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int="default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2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产品质量及技术性能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int="default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Cs w:val="21"/>
              </w:rPr>
              <w:t>根据产品配置技术性能符合采购文件“项目需求”的程度进行综合评定，主要对响应产品技术性能响应情况、产品配置合理性等进行综合评分</w:t>
            </w:r>
            <w:r>
              <w:rPr>
                <w:rFonts w:hint="eastAsia" w:hAnsi="宋体" w:cs="宋体"/>
                <w:szCs w:val="21"/>
                <w:lang w:eastAsia="zh-CN"/>
              </w:rPr>
              <w:t>，每偏离一项，扣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0.5分。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3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安装调试方案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根据安装调试方案的完整性、针对性和可行性，安装调试的进度计划及措施的科学合理性，安装质量保证措施的可靠性进行评分。优秀得8～10分，一般得4～7分，较差1～3分，完全偏离本项目得0分。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Ansi="宋体" w:eastAsia="等线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4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类似项目业绩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企业近三年来，类似供货业绩每提供一项得2分，最多得10分。所提供的的合同可以不牵涉到金额等相关商业机密信息，但必须提供合同双方签署页及合同签署双方的完整信息，否则业绩无效。</w:t>
            </w:r>
            <w:bookmarkStart w:id="3" w:name="_GoBack"/>
            <w:bookmarkEnd w:id="3"/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Ansi="宋体" w:eastAsia="等线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5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质量保证措施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eastAsia="等线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针对本项目的质量保证措施、安全文明施工等措施及技术手段。优的得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7-10</w:t>
            </w:r>
            <w:r>
              <w:rPr>
                <w:rFonts w:hint="eastAsia" w:hAnsi="宋体" w:cs="宋体"/>
                <w:szCs w:val="21"/>
              </w:rPr>
              <w:t>分，一般的得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4-6</w:t>
            </w:r>
            <w:r>
              <w:rPr>
                <w:rFonts w:hint="eastAsia" w:hAnsi="宋体" w:cs="宋体"/>
                <w:szCs w:val="21"/>
              </w:rPr>
              <w:t>分，差的得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0-3</w:t>
            </w:r>
            <w:r>
              <w:rPr>
                <w:rFonts w:hint="eastAsia" w:hAnsi="宋体" w:cs="宋体"/>
                <w:szCs w:val="21"/>
              </w:rPr>
              <w:t>分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</w:pPr>
            <w:r>
              <w:rPr>
                <w:rFonts w:hint="eastAsia" w:hAnsi="宋体" w:cs="宋体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108" w:type="dxa"/>
            <w:bottom w:w="2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7" w:type="dxa"/>
            <w:vAlign w:val="center"/>
          </w:tcPr>
          <w:p>
            <w:pPr>
              <w:spacing w:line="300" w:lineRule="exact"/>
              <w:jc w:val="center"/>
              <w:rPr>
                <w:rFonts w:hint="eastAsia" w:hAnsi="宋体" w:cs="宋体" w:eastAsiaTheme="minorEastAsia"/>
                <w:szCs w:val="21"/>
                <w:lang w:eastAsia="zh-CN"/>
              </w:rPr>
            </w:pPr>
            <w:r>
              <w:rPr>
                <w:rFonts w:hint="eastAsia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1160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售后服务</w:t>
            </w:r>
          </w:p>
        </w:tc>
        <w:tc>
          <w:tcPr>
            <w:tcW w:w="5977" w:type="dxa"/>
            <w:vAlign w:val="center"/>
          </w:tcPr>
          <w:p>
            <w:pPr>
              <w:spacing w:line="300" w:lineRule="exact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根据投标人提供的售后服务体系，本地区</w:t>
            </w:r>
            <w:r>
              <w:rPr>
                <w:rFonts w:hint="eastAsia" w:hAnsi="宋体" w:cs="宋体"/>
                <w:szCs w:val="21"/>
                <w:lang w:eastAsia="zh-CN"/>
              </w:rPr>
              <w:t>设</w:t>
            </w:r>
            <w:r>
              <w:rPr>
                <w:rFonts w:hint="eastAsia" w:hAnsi="宋体" w:cs="宋体"/>
                <w:szCs w:val="21"/>
              </w:rPr>
              <w:t>专业服务机构，售后服务承诺的程度（保修期、保修响应时间的长短、产品维护方式和时间、备件支持等）。优的得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7-10</w:t>
            </w:r>
            <w:r>
              <w:rPr>
                <w:rFonts w:hint="eastAsia" w:hAnsi="宋体" w:cs="宋体"/>
                <w:szCs w:val="21"/>
              </w:rPr>
              <w:t>分，一般的得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4-6</w:t>
            </w:r>
            <w:r>
              <w:rPr>
                <w:rFonts w:hint="eastAsia" w:hAnsi="宋体" w:cs="宋体"/>
                <w:szCs w:val="21"/>
              </w:rPr>
              <w:t>分，</w:t>
            </w:r>
          </w:p>
          <w:p>
            <w:pPr>
              <w:spacing w:line="300" w:lineRule="exact"/>
              <w:jc w:val="left"/>
              <w:rPr>
                <w:rFonts w:hAnsi="宋体" w:eastAsia="等线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差的得</w:t>
            </w:r>
            <w:r>
              <w:rPr>
                <w:rFonts w:hint="eastAsia" w:hAnsi="宋体" w:cs="宋体"/>
                <w:szCs w:val="21"/>
                <w:lang w:val="en-US" w:eastAsia="zh-CN"/>
              </w:rPr>
              <w:t>0-3</w:t>
            </w:r>
            <w:r>
              <w:rPr>
                <w:rFonts w:hint="eastAsia" w:hAnsi="宋体" w:cs="宋体"/>
                <w:szCs w:val="21"/>
              </w:rPr>
              <w:t>分</w:t>
            </w:r>
          </w:p>
        </w:tc>
        <w:tc>
          <w:tcPr>
            <w:tcW w:w="912" w:type="dxa"/>
            <w:vAlign w:val="center"/>
          </w:tcPr>
          <w:p>
            <w:pPr>
              <w:spacing w:line="300" w:lineRule="exact"/>
              <w:ind w:firstLine="210" w:firstLineChars="100"/>
              <w:jc w:val="left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10</w:t>
            </w:r>
          </w:p>
        </w:tc>
      </w:tr>
    </w:tbl>
    <w:p>
      <w:pPr>
        <w:pStyle w:val="10"/>
        <w:spacing w:line="500" w:lineRule="exact"/>
        <w:ind w:left="420" w:firstLine="0" w:firstLineChars="0"/>
        <w:jc w:val="left"/>
        <w:rPr>
          <w:rFonts w:ascii="仿宋_GB2312" w:hAnsi="仿宋_GB2312" w:eastAsia="仿宋_GB2312" w:cs="仿宋_GB2312"/>
          <w:szCs w:val="21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78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  <w:highlight w:val="yello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EFE6312"/>
    <w:multiLevelType w:val="singleLevel"/>
    <w:tmpl w:val="FEFE631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CF2"/>
    <w:rsid w:val="000267CA"/>
    <w:rsid w:val="000813EA"/>
    <w:rsid w:val="000A5AB1"/>
    <w:rsid w:val="0016433D"/>
    <w:rsid w:val="001C3B13"/>
    <w:rsid w:val="001D076E"/>
    <w:rsid w:val="001F1E67"/>
    <w:rsid w:val="00245C6D"/>
    <w:rsid w:val="002A66BD"/>
    <w:rsid w:val="002E6AC1"/>
    <w:rsid w:val="00316B0A"/>
    <w:rsid w:val="003521FC"/>
    <w:rsid w:val="00356923"/>
    <w:rsid w:val="00396F66"/>
    <w:rsid w:val="003A1F82"/>
    <w:rsid w:val="003E29A1"/>
    <w:rsid w:val="00406B76"/>
    <w:rsid w:val="00462F1C"/>
    <w:rsid w:val="005768DA"/>
    <w:rsid w:val="006058A1"/>
    <w:rsid w:val="00612B9B"/>
    <w:rsid w:val="00612E80"/>
    <w:rsid w:val="00617C90"/>
    <w:rsid w:val="006658BF"/>
    <w:rsid w:val="007328A2"/>
    <w:rsid w:val="00865E55"/>
    <w:rsid w:val="00874123"/>
    <w:rsid w:val="009144C4"/>
    <w:rsid w:val="00935CF2"/>
    <w:rsid w:val="00942FEE"/>
    <w:rsid w:val="009A1150"/>
    <w:rsid w:val="009D73CB"/>
    <w:rsid w:val="009F3A3C"/>
    <w:rsid w:val="00A232D1"/>
    <w:rsid w:val="00A478A5"/>
    <w:rsid w:val="00A81FA6"/>
    <w:rsid w:val="00AC38C1"/>
    <w:rsid w:val="00AF379F"/>
    <w:rsid w:val="00B318E1"/>
    <w:rsid w:val="00B32787"/>
    <w:rsid w:val="00B42309"/>
    <w:rsid w:val="00B9185E"/>
    <w:rsid w:val="00C410D9"/>
    <w:rsid w:val="00C752AD"/>
    <w:rsid w:val="00C77B9E"/>
    <w:rsid w:val="00CA4397"/>
    <w:rsid w:val="00DC4A22"/>
    <w:rsid w:val="00E12D86"/>
    <w:rsid w:val="00E4049D"/>
    <w:rsid w:val="00E712CC"/>
    <w:rsid w:val="00E77780"/>
    <w:rsid w:val="00E80407"/>
    <w:rsid w:val="00EF2EFE"/>
    <w:rsid w:val="00F00166"/>
    <w:rsid w:val="00F22AAC"/>
    <w:rsid w:val="00FD13E0"/>
    <w:rsid w:val="0B654709"/>
    <w:rsid w:val="1178129C"/>
    <w:rsid w:val="251C2241"/>
    <w:rsid w:val="3B93033B"/>
    <w:rsid w:val="3C885F88"/>
    <w:rsid w:val="40610FCA"/>
    <w:rsid w:val="489FE490"/>
    <w:rsid w:val="5BFFA8F2"/>
    <w:rsid w:val="5F6B4156"/>
    <w:rsid w:val="6204076B"/>
    <w:rsid w:val="62153F79"/>
    <w:rsid w:val="671F547E"/>
    <w:rsid w:val="6FDF8F0D"/>
    <w:rsid w:val="706C4BA6"/>
    <w:rsid w:val="79BF2664"/>
    <w:rsid w:val="7DEE90ED"/>
    <w:rsid w:val="B67D6DF8"/>
    <w:rsid w:val="BECCB382"/>
    <w:rsid w:val="CFB62C0D"/>
    <w:rsid w:val="EBEFB392"/>
    <w:rsid w:val="EED63CB5"/>
    <w:rsid w:val="EF9BBD11"/>
    <w:rsid w:val="FF3BB0B3"/>
    <w:rsid w:val="FFBF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qFormat/>
    <w:uiPriority w:val="0"/>
    <w:rPr>
      <w:rFonts w:ascii="宋体" w:hAnsi="宋体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2322</Words>
  <Characters>2502</Characters>
  <Lines>37</Lines>
  <Paragraphs>40</Paragraphs>
  <TotalTime>0</TotalTime>
  <ScaleCrop>false</ScaleCrop>
  <LinksUpToDate>false</LinksUpToDate>
  <CharactersWithSpaces>2514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2025-12-15T12:12:00Z</dcterms:created>
  <dc:creator>JUN</dc:creator>
  <cp:lastModifiedBy>user</cp:lastModifiedBy>
  <dcterms:modified xsi:type="dcterms:W3CDTF">2025-12-30T16:15:07Z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5C1A1E71780E41A3817D5369A894E8F1</vt:lpwstr>
  </property>
  <property fmtid="{D5CDD505-2E9C-101B-9397-08002B2CF9AE}" pid="4" name="KSOTemplateDocerSaveRecord">
    <vt:lpwstr>eyJoZGlkIjoiNDQzMDdlZTExNTRhZmYwZmJlMThlYTRlNDY4NzYyNjMiLCJ1c2VySWQiOiIxMjQ3NTY4MjIyIn0=</vt:lpwstr>
  </property>
</Properties>
</file>